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2526" w14:textId="7BD117BC" w:rsidR="000E128D" w:rsidRDefault="000E128D" w:rsidP="003A0708">
      <w:pPr>
        <w:jc w:val="both"/>
        <w:rPr>
          <w:rFonts w:ascii="Arial" w:hAnsi="Arial" w:cs="Arial"/>
          <w:b/>
        </w:rPr>
      </w:pPr>
    </w:p>
    <w:p w14:paraId="2D8FD9FB" w14:textId="77777777" w:rsidR="00137C5D" w:rsidRPr="00137C5D" w:rsidRDefault="00137C5D" w:rsidP="00137C5D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137C5D">
        <w:rPr>
          <w:rFonts w:ascii="Arial" w:hAnsi="Arial" w:cs="Arial"/>
          <w:b/>
          <w:bCs/>
        </w:rPr>
        <w:t>RESOLUÇÃO CMDCA nº 03/2025</w:t>
      </w:r>
    </w:p>
    <w:p w14:paraId="02AA32ED" w14:textId="77777777" w:rsidR="00137C5D" w:rsidRPr="00137C5D" w:rsidRDefault="00137C5D" w:rsidP="00137C5D">
      <w:pPr>
        <w:spacing w:before="240" w:after="240" w:line="360" w:lineRule="auto"/>
        <w:ind w:left="3540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DISPÕE SOBRE O BANCO DE PROJETOS E OS PARÂMETROS E DIRETRIZES PARA CAPTAÇÃO E A APLICAÇÃO DE RECURSOS DO FUNDO MUNICIPAL DOS DIREITOS DA CRIANÇA E DO ADOLESCENTE E DÁ OUTRAS PROVIDÊNCIAS.</w:t>
      </w:r>
    </w:p>
    <w:p w14:paraId="30001A37" w14:textId="77777777" w:rsidR="00137C5D" w:rsidRPr="00137C5D" w:rsidRDefault="00137C5D" w:rsidP="00137C5D">
      <w:pPr>
        <w:spacing w:before="240" w:after="240" w:line="360" w:lineRule="auto"/>
        <w:ind w:left="708" w:firstLine="708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CMDCA, no uso de suas atribuições previstas na Lei Municipal nº 1.349, de 14 de agosto de 1997, que “Dispõe sobre a Política Municipal dos Direitos da Criança e do Adolescente e dá outras providências”.</w:t>
      </w:r>
    </w:p>
    <w:p w14:paraId="0EFA8ACC" w14:textId="77777777" w:rsidR="00137C5D" w:rsidRPr="00137C5D" w:rsidRDefault="00137C5D" w:rsidP="00137C5D">
      <w:pPr>
        <w:spacing w:before="240" w:after="240" w:line="360" w:lineRule="auto"/>
        <w:ind w:left="708" w:firstLine="709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Considerando o disposto no artigo 260 da Lei nº 8.069, de 13 de julho de 1990 – Estatuto da Criança e do Adolescente (ECA);</w:t>
      </w:r>
    </w:p>
    <w:p w14:paraId="3CAB6D48" w14:textId="77777777" w:rsidR="00137C5D" w:rsidRPr="00137C5D" w:rsidRDefault="00137C5D" w:rsidP="00137C5D">
      <w:pPr>
        <w:spacing w:before="240" w:after="240" w:line="360" w:lineRule="auto"/>
        <w:ind w:left="708" w:firstLine="709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Considerando a Instrução Normativa RFB nº 1.131, de 21 de fevereiro de 2011, alterada pela Instrução Normativa RFB Nº 1311 DE 27/12/2012;</w:t>
      </w:r>
    </w:p>
    <w:p w14:paraId="178C2D57" w14:textId="77777777" w:rsidR="00137C5D" w:rsidRPr="00137C5D" w:rsidRDefault="00137C5D" w:rsidP="00137C5D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137C5D">
        <w:rPr>
          <w:rFonts w:ascii="Arial" w:hAnsi="Arial" w:cs="Arial"/>
          <w:b/>
          <w:bCs/>
        </w:rPr>
        <w:t>RESOLVE:</w:t>
      </w:r>
    </w:p>
    <w:p w14:paraId="77B40F56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1º</w:t>
      </w:r>
      <w:r w:rsidRPr="00137C5D">
        <w:rPr>
          <w:rFonts w:ascii="Arial" w:hAnsi="Arial" w:cs="Arial"/>
        </w:rPr>
        <w:t xml:space="preserve"> Fica instituído o Banco de Projetos destinados ao programa de captação de recursos de financeiros junto a pessoas físicas e jurídicas visando o financiamento de projetos e atividades que tenham como beneficiário crianças e adolescentes.</w:t>
      </w:r>
    </w:p>
    <w:p w14:paraId="51BD40F0" w14:textId="77777777" w:rsidR="00137C5D" w:rsidRPr="00137C5D" w:rsidRDefault="00137C5D" w:rsidP="00137C5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37C5D">
        <w:rPr>
          <w:rFonts w:ascii="Arial" w:hAnsi="Arial" w:cs="Arial"/>
          <w:b/>
          <w:bCs/>
        </w:rPr>
        <w:t>CAPÍTULO I - DO BANCO DE PROJETOS</w:t>
      </w:r>
    </w:p>
    <w:p w14:paraId="64712A33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ab/>
      </w:r>
      <w:r w:rsidRPr="00137C5D">
        <w:rPr>
          <w:rFonts w:ascii="Arial" w:hAnsi="Arial" w:cs="Arial"/>
          <w:b/>
          <w:bCs/>
        </w:rPr>
        <w:t>Art. 2º</w:t>
      </w:r>
      <w:r w:rsidRPr="00137C5D">
        <w:rPr>
          <w:rFonts w:ascii="Arial" w:hAnsi="Arial" w:cs="Arial"/>
        </w:rPr>
        <w:t xml:space="preserve"> O Banco de Projetos terá por finalidade reunir projetos apresentados por Organizações da Sociedade Civil e órgãos da Administração Pública Direta e Indireta que reconhecidamente executem ações voltadas à promoção, garantia e defesa dos direitos da criança e do adolescente.</w:t>
      </w:r>
    </w:p>
    <w:p w14:paraId="646CDFC2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3°</w:t>
      </w:r>
      <w:r w:rsidRPr="00137C5D">
        <w:rPr>
          <w:rFonts w:ascii="Arial" w:hAnsi="Arial" w:cs="Arial"/>
        </w:rPr>
        <w:t xml:space="preserve"> A apresentação de projetos deverá ser realizada por Organizações que esteja devidamente registrada e em situação regular no Conselho Municipal dos Direitos da Criança e do Adolescente.</w:t>
      </w:r>
    </w:p>
    <w:p w14:paraId="3FD111A2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4º</w:t>
      </w:r>
      <w:r w:rsidRPr="00137C5D">
        <w:rPr>
          <w:rFonts w:ascii="Arial" w:hAnsi="Arial" w:cs="Arial"/>
        </w:rPr>
        <w:t xml:space="preserve"> O projeto será analisado no Plenário, sendo respeitada a ordem de protocolo em </w:t>
      </w:r>
      <w:proofErr w:type="spellStart"/>
      <w:r w:rsidRPr="00137C5D">
        <w:rPr>
          <w:rFonts w:ascii="Arial" w:hAnsi="Arial" w:cs="Arial"/>
        </w:rPr>
        <w:t>ate</w:t>
      </w:r>
      <w:proofErr w:type="spellEnd"/>
      <w:r w:rsidRPr="00137C5D">
        <w:rPr>
          <w:rFonts w:ascii="Arial" w:hAnsi="Arial" w:cs="Arial"/>
        </w:rPr>
        <w:t>́ 60 dias a partir deste.</w:t>
      </w:r>
    </w:p>
    <w:p w14:paraId="529E4CDE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lastRenderedPageBreak/>
        <w:t>§1º</w:t>
      </w:r>
      <w:r w:rsidRPr="00137C5D">
        <w:rPr>
          <w:rFonts w:ascii="Arial" w:hAnsi="Arial" w:cs="Arial"/>
        </w:rPr>
        <w:t xml:space="preserve"> Na área da saúde não serão aceitos projetos finalísticos com recursos previstos no SUS, exceto se houver aumento das metas.</w:t>
      </w:r>
    </w:p>
    <w:p w14:paraId="1DF7B266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§2º</w:t>
      </w:r>
      <w:r w:rsidRPr="00137C5D">
        <w:rPr>
          <w:rFonts w:ascii="Arial" w:hAnsi="Arial" w:cs="Arial"/>
        </w:rPr>
        <w:t xml:space="preserve"> Não serão aceitos projetos cujas despesas incluam remuneração da diretoria de Organizações da Sociedade Civil de Interesse Público – OSCIPS ou Organizações Sociais de Saúde.</w:t>
      </w:r>
    </w:p>
    <w:p w14:paraId="4283AD0D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5º</w:t>
      </w:r>
      <w:r w:rsidRPr="00137C5D">
        <w:rPr>
          <w:rFonts w:ascii="Arial" w:hAnsi="Arial" w:cs="Arial"/>
        </w:rPr>
        <w:t xml:space="preserve"> Sendo aprovado, o projeto será inserido no Banco de Projetos, devendo o proponente cumprir de maneira integral com o escopo e dispostos no projeto aprovado.</w:t>
      </w:r>
    </w:p>
    <w:p w14:paraId="509295D3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6º</w:t>
      </w:r>
      <w:r w:rsidRPr="00137C5D">
        <w:rPr>
          <w:rFonts w:ascii="Arial" w:hAnsi="Arial" w:cs="Arial"/>
        </w:rPr>
        <w:t xml:space="preserve"> O Banco de Projetos ficará disponível para consulta pública no sítio eletrônico https://urupes.sp.gov.br.</w:t>
      </w:r>
    </w:p>
    <w:p w14:paraId="228AB225" w14:textId="77777777" w:rsidR="00137C5D" w:rsidRPr="00137C5D" w:rsidRDefault="00137C5D" w:rsidP="00137C5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37C5D">
        <w:rPr>
          <w:rFonts w:ascii="Arial" w:hAnsi="Arial" w:cs="Arial"/>
          <w:b/>
          <w:bCs/>
        </w:rPr>
        <w:t xml:space="preserve"> CAPÍTULO II</w:t>
      </w:r>
      <w:r w:rsidRPr="00137C5D">
        <w:rPr>
          <w:rFonts w:ascii="Arial" w:hAnsi="Arial" w:cs="Arial"/>
          <w:b/>
          <w:bCs/>
        </w:rPr>
        <w:br/>
        <w:t>DO CERTIFICADO DE AUTORIZAÇÃO PARA CAPTAÇÃO DE RECURSOS FINANCEIROS</w:t>
      </w:r>
    </w:p>
    <w:p w14:paraId="3DE0FDE6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7º</w:t>
      </w:r>
      <w:r w:rsidRPr="00137C5D">
        <w:rPr>
          <w:rFonts w:ascii="Arial" w:hAnsi="Arial" w:cs="Arial"/>
        </w:rPr>
        <w:t> O Certificado de Autorização para de Captação de Recursos Financeiros tem a finalidade de autorizar a captação de recursos junto a pessoas físicas e jurídicas, contribuindo para o financiamento de projetos nos regimes de atendimento de competência e âmbito municipal previstos na Lei nº 8.069, de 13 de julho de 1990 – Estatuto da Criança e do Adolescente (ECA), que visem à participação, promoção, proteção e defesa dos direitos da criança e do adolescente, priorizados e aprovados pelo CMDCA.</w:t>
      </w:r>
    </w:p>
    <w:p w14:paraId="7B792CD4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8º</w:t>
      </w:r>
      <w:r w:rsidRPr="00137C5D">
        <w:rPr>
          <w:rFonts w:ascii="Arial" w:hAnsi="Arial" w:cs="Arial"/>
        </w:rPr>
        <w:t xml:space="preserve"> As Organizações que tiverem aprovadas suas propostas receberão Certificado de Autorização para Captação – CAC, instrumento de autorização para captação de recursos financeiros junto às pessoas físicas e jurídicas, passíveis do benefício de renúncia fiscal aprovada por Lei Federal (art. 260 da Lei n° 8.069/90), destinado a financiar recursos para propostas aprovadas, após a publicação dos projetos aprovados no Diário Oficial.</w:t>
      </w:r>
    </w:p>
    <w:p w14:paraId="72B9BDC5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 xml:space="preserve">§1º </w:t>
      </w:r>
      <w:r w:rsidRPr="00137C5D">
        <w:rPr>
          <w:rFonts w:ascii="Arial" w:hAnsi="Arial" w:cs="Arial"/>
        </w:rPr>
        <w:t>O CAC terá prazo de validade de até 02 (dois) anos ou até atingir o valor total de captação, a contar da data publicação citado no caput deste artigo, podendo ser prorrogada mediante deliberação do CMDCA;</w:t>
      </w:r>
    </w:p>
    <w:p w14:paraId="5AB2190A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§2º</w:t>
      </w:r>
      <w:r w:rsidRPr="00137C5D">
        <w:rPr>
          <w:rFonts w:ascii="Arial" w:hAnsi="Arial" w:cs="Arial"/>
        </w:rPr>
        <w:t xml:space="preserve"> Excepcionalmente, o prazo para captação poderá ser estendido em até 2 (dois) anos, mediante deliberação e aprovação do CMDCA.</w:t>
      </w:r>
    </w:p>
    <w:p w14:paraId="7D7772D0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9º</w:t>
      </w:r>
      <w:r w:rsidRPr="00137C5D">
        <w:rPr>
          <w:rFonts w:ascii="Arial" w:hAnsi="Arial" w:cs="Arial"/>
        </w:rPr>
        <w:t xml:space="preserve"> A concessão do CAC e autorização da liberação de recursos são de competência do CMDCA através de deliberação em plenária. O Certificado será nominativo em </w:t>
      </w:r>
      <w:r w:rsidRPr="00137C5D">
        <w:rPr>
          <w:rFonts w:ascii="Arial" w:hAnsi="Arial" w:cs="Arial"/>
        </w:rPr>
        <w:lastRenderedPageBreak/>
        <w:t>favor da Organização da Sociedade Civil (OSC) fará referência ao nome do projeto aprovado, valor, percentual a ser repassado e vigência da autorização.</w:t>
      </w:r>
    </w:p>
    <w:p w14:paraId="6A7CA220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 xml:space="preserve">Parágrafo Único. </w:t>
      </w:r>
      <w:r w:rsidRPr="00137C5D">
        <w:rPr>
          <w:rFonts w:ascii="Arial" w:hAnsi="Arial" w:cs="Arial"/>
        </w:rPr>
        <w:t>O CAC deverá ser publicado no Diário Oficial do Município após sua aprovação.</w:t>
      </w:r>
    </w:p>
    <w:p w14:paraId="4A649C89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10</w:t>
      </w:r>
      <w:r w:rsidRPr="00137C5D">
        <w:rPr>
          <w:rFonts w:ascii="Arial" w:hAnsi="Arial" w:cs="Arial"/>
        </w:rPr>
        <w:t xml:space="preserve"> As pessoas físicas ou jurídicas que efetuarem doação ao CMDCA poderão indicar o(s) projeto(s) cujo desenvolvimento pretendam apoiar, conforme previsto no Art. 260 da Lei 8069/90 alterado pela Lei 14.692/2023.</w:t>
      </w:r>
    </w:p>
    <w:p w14:paraId="10D617BA" w14:textId="129A2A7E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Parágrafo Único.</w:t>
      </w:r>
      <w:r w:rsidRPr="00137C5D">
        <w:rPr>
          <w:rFonts w:ascii="Arial" w:hAnsi="Arial" w:cs="Arial"/>
        </w:rPr>
        <w:t xml:space="preserve"> Os recursos financeiros serão depositados pelo doador na conta do Fundo Municipal dos Direitos da Criança e do Adolescente de </w:t>
      </w:r>
      <w:r>
        <w:rPr>
          <w:rFonts w:ascii="Arial" w:hAnsi="Arial" w:cs="Arial"/>
        </w:rPr>
        <w:t>Urupês</w:t>
      </w:r>
      <w:r w:rsidRPr="00137C5D">
        <w:rPr>
          <w:rFonts w:ascii="Arial" w:hAnsi="Arial" w:cs="Arial"/>
        </w:rPr>
        <w:t xml:space="preserve"> – CNPJ 31.410.698/0001-47, mantida junto ao Banco do Brasil, agência nº 2759-6, c/c 12.841-4.</w:t>
      </w:r>
    </w:p>
    <w:p w14:paraId="0058F9E4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11</w:t>
      </w:r>
      <w:r w:rsidRPr="00137C5D">
        <w:rPr>
          <w:rFonts w:ascii="Arial" w:hAnsi="Arial" w:cs="Arial"/>
        </w:rPr>
        <w:t xml:space="preserve"> Quando houver a realização de doação, caso seja do interesse do doador, poderá indicar ao CMDCA, dentro do prazo de 30 (trinta) dias corridos, o(s) projeto(s) já aprovado(os), em fase de captação, a ser(em) financiado(s) com estes recursos.</w:t>
      </w:r>
    </w:p>
    <w:p w14:paraId="70773F98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§1º</w:t>
      </w:r>
      <w:r w:rsidRPr="00137C5D">
        <w:rPr>
          <w:rFonts w:ascii="Arial" w:hAnsi="Arial" w:cs="Arial"/>
        </w:rPr>
        <w:t xml:space="preserve"> Independentemente do prazo exposto no caput, o direcionamento só poderá ser realizado para projetos que estejam em fase de captação na data do direcionamento.</w:t>
      </w:r>
    </w:p>
    <w:p w14:paraId="29CFAB06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§2º</w:t>
      </w:r>
      <w:r w:rsidRPr="00137C5D">
        <w:rPr>
          <w:rFonts w:ascii="Arial" w:hAnsi="Arial" w:cs="Arial"/>
        </w:rPr>
        <w:t xml:space="preserve"> O doador deverá protocolar, junto ao CMDCA, no prazo definido no caput deste artigo, a contar da data da doação, carta de direcionamento, dirigido a Presidência do CMDCA, contendo:</w:t>
      </w:r>
    </w:p>
    <w:p w14:paraId="1EE0D056" w14:textId="77777777" w:rsidR="00137C5D" w:rsidRPr="00137C5D" w:rsidRDefault="00137C5D" w:rsidP="00137C5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t>Identificação do doador</w:t>
      </w:r>
      <w:r w:rsidRPr="00137C5D">
        <w:rPr>
          <w:rFonts w:ascii="Arial" w:hAnsi="Arial" w:cs="Arial"/>
        </w:rPr>
        <w:t>: Nome e CPF, no caso do doador pessoa física ou razão social e CNPJ, no caso de doador pessoa jurídica;</w:t>
      </w:r>
    </w:p>
    <w:p w14:paraId="31A52DD6" w14:textId="77777777" w:rsidR="00137C5D" w:rsidRPr="00137C5D" w:rsidRDefault="00137C5D" w:rsidP="00137C5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nome do projeto;</w:t>
      </w:r>
    </w:p>
    <w:p w14:paraId="28DC463B" w14:textId="77777777" w:rsidR="00137C5D" w:rsidRPr="00137C5D" w:rsidRDefault="00137C5D" w:rsidP="00137C5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nome da OSC ou o eixo;</w:t>
      </w:r>
    </w:p>
    <w:p w14:paraId="257F16F5" w14:textId="77777777" w:rsidR="00137C5D" w:rsidRPr="00137C5D" w:rsidRDefault="00137C5D" w:rsidP="00137C5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valor direcionado ao projeto;</w:t>
      </w:r>
    </w:p>
    <w:p w14:paraId="17A08076" w14:textId="77777777" w:rsidR="00137C5D" w:rsidRPr="00137C5D" w:rsidRDefault="00137C5D" w:rsidP="00137C5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comprovante de depósito do valor total que será direcionado ao projeto aprovado;</w:t>
      </w:r>
    </w:p>
    <w:p w14:paraId="036CDEFA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§3º</w:t>
      </w:r>
      <w:r w:rsidRPr="00137C5D">
        <w:rPr>
          <w:rFonts w:ascii="Arial" w:hAnsi="Arial" w:cs="Arial"/>
        </w:rPr>
        <w:t xml:space="preserve"> Caso seja realizado o direcionamento a mais de um projeto, deve ser identificado em carta única dirigido a Presidência do CMDCA, contendo para cada projeto:</w:t>
      </w:r>
    </w:p>
    <w:p w14:paraId="02B2C177" w14:textId="77777777" w:rsidR="00137C5D" w:rsidRPr="00137C5D" w:rsidRDefault="00137C5D" w:rsidP="00137C5D">
      <w:pPr>
        <w:pStyle w:val="PargrafodaLista"/>
        <w:numPr>
          <w:ilvl w:val="0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t>Informações gerais</w:t>
      </w:r>
      <w:r w:rsidRPr="00137C5D">
        <w:rPr>
          <w:rFonts w:ascii="Arial" w:hAnsi="Arial" w:cs="Arial"/>
        </w:rPr>
        <w:t>:</w:t>
      </w:r>
    </w:p>
    <w:p w14:paraId="1EB49EE4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Identificação do doador: Nome e CPF, no caso do doador pessoa física ou razão social e CNPJ, no caso de doador pessoa jurídica;</w:t>
      </w:r>
    </w:p>
    <w:p w14:paraId="12404E33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lastRenderedPageBreak/>
        <w:t>Valor total da doação;</w:t>
      </w:r>
    </w:p>
    <w:p w14:paraId="4804BBF1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Comprovante do depósito no valor total.</w:t>
      </w:r>
    </w:p>
    <w:p w14:paraId="78AAD5FA" w14:textId="77777777" w:rsidR="00137C5D" w:rsidRPr="00137C5D" w:rsidRDefault="00137C5D" w:rsidP="00137C5D">
      <w:pPr>
        <w:pStyle w:val="PargrafodaLista"/>
        <w:numPr>
          <w:ilvl w:val="0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t>Informações específicas para cada projeto ou eixo</w:t>
      </w:r>
      <w:r w:rsidRPr="00137C5D">
        <w:rPr>
          <w:rFonts w:ascii="Arial" w:hAnsi="Arial" w:cs="Arial"/>
        </w:rPr>
        <w:t>:</w:t>
      </w:r>
    </w:p>
    <w:p w14:paraId="4CDFD852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nome da OSC ou o eixo;</w:t>
      </w:r>
    </w:p>
    <w:p w14:paraId="427AAF69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nome do projeto;</w:t>
      </w:r>
    </w:p>
    <w:p w14:paraId="77A81F04" w14:textId="77777777" w:rsidR="00137C5D" w:rsidRPr="00137C5D" w:rsidRDefault="00137C5D" w:rsidP="00137C5D">
      <w:pPr>
        <w:pStyle w:val="PargrafodaLista"/>
        <w:numPr>
          <w:ilvl w:val="1"/>
          <w:numId w:val="6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</w:rPr>
        <w:t>O valor individual direcionado ao projeto.</w:t>
      </w:r>
    </w:p>
    <w:p w14:paraId="07BACE6C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§4º</w:t>
      </w:r>
      <w:r w:rsidRPr="00137C5D">
        <w:rPr>
          <w:rFonts w:ascii="Arial" w:hAnsi="Arial" w:cs="Arial"/>
        </w:rPr>
        <w:t xml:space="preserve"> Os recursos captados que ultrapassarem o limite previsto no CAC, poderão ser solicitados pelo proponente, desde que apresente aumento das metas, previamente já aprovadas, vedado a alteração de objeto ou finalidade da execução.</w:t>
      </w:r>
    </w:p>
    <w:p w14:paraId="248DC35A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§5º</w:t>
      </w:r>
      <w:r w:rsidRPr="00137C5D">
        <w:rPr>
          <w:rFonts w:ascii="Arial" w:hAnsi="Arial" w:cs="Arial"/>
        </w:rPr>
        <w:t xml:space="preserve"> Caso não houver ou não ficar comprovado o aumento de metas, os recursos captados acima do limite ficarão retidos no fundo.</w:t>
      </w:r>
    </w:p>
    <w:p w14:paraId="6D8C1D6C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§6º</w:t>
      </w:r>
      <w:r w:rsidRPr="00137C5D">
        <w:rPr>
          <w:rFonts w:ascii="Arial" w:hAnsi="Arial" w:cs="Arial"/>
        </w:rPr>
        <w:t xml:space="preserve"> Nas hipóteses em que a doação for solicitada por Organização da Sociedade Civil – OSC, só poderá ser fornecido o documento se a OSC apresentar Carta de Direcionamento do valor doado.</w:t>
      </w:r>
    </w:p>
    <w:p w14:paraId="3351AE3F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12</w:t>
      </w:r>
      <w:r w:rsidRPr="00137C5D">
        <w:rPr>
          <w:rFonts w:ascii="Arial" w:hAnsi="Arial" w:cs="Arial"/>
        </w:rPr>
        <w:t xml:space="preserve"> O direcionamento de recursos é exclusivo para cada projeto aprovado, ficando vedado alterar para outro projeto aprovado, ainda que autorizado pelo doador/destinador.</w:t>
      </w:r>
    </w:p>
    <w:p w14:paraId="5F968405" w14:textId="77777777" w:rsidR="00137C5D" w:rsidRPr="00137C5D" w:rsidRDefault="00137C5D" w:rsidP="00137C5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37C5D">
        <w:rPr>
          <w:rFonts w:ascii="Arial" w:hAnsi="Arial" w:cs="Arial"/>
          <w:b/>
          <w:bCs/>
        </w:rPr>
        <w:t>CAPÍTULO III</w:t>
      </w:r>
      <w:r w:rsidRPr="00137C5D">
        <w:rPr>
          <w:rFonts w:ascii="Arial" w:hAnsi="Arial" w:cs="Arial"/>
          <w:b/>
          <w:bCs/>
        </w:rPr>
        <w:br/>
        <w:t>DA LIBERAÇÃO, REPASSE E UTILIZAÇÃO DOS RECURSOS</w:t>
      </w:r>
    </w:p>
    <w:p w14:paraId="2C53AB8E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13</w:t>
      </w:r>
      <w:r w:rsidRPr="00137C5D">
        <w:rPr>
          <w:rFonts w:ascii="Arial" w:hAnsi="Arial" w:cs="Arial"/>
        </w:rPr>
        <w:t xml:space="preserve"> A liberação do repasse será de acordo com o cronograma de desembolso previsto no projeto e </w:t>
      </w:r>
      <w:proofErr w:type="spellStart"/>
      <w:r w:rsidRPr="00137C5D">
        <w:rPr>
          <w:rFonts w:ascii="Arial" w:hAnsi="Arial" w:cs="Arial"/>
        </w:rPr>
        <w:t>esta</w:t>
      </w:r>
      <w:proofErr w:type="spellEnd"/>
      <w:r w:rsidRPr="00137C5D">
        <w:rPr>
          <w:rFonts w:ascii="Arial" w:hAnsi="Arial" w:cs="Arial"/>
        </w:rPr>
        <w:t>́ condicionada às normas estabelecidas pelo Município, que firmará o repasse através de instrumento jurídico próprio a ser definido de acordo com o projeto aprovado.</w:t>
      </w:r>
    </w:p>
    <w:p w14:paraId="20E9241B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Parágrafo Único.</w:t>
      </w:r>
      <w:r w:rsidRPr="00137C5D">
        <w:rPr>
          <w:rFonts w:ascii="Arial" w:hAnsi="Arial" w:cs="Arial"/>
        </w:rPr>
        <w:t xml:space="preserve"> Na celebração de parceria será considerado o disposto na Lei Federal 13.019/2014, especialmente quanto a inexigibilidade em razão do inciso II.</w:t>
      </w:r>
    </w:p>
    <w:p w14:paraId="2B1AD828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14</w:t>
      </w:r>
      <w:r w:rsidRPr="00137C5D">
        <w:rPr>
          <w:rFonts w:ascii="Arial" w:hAnsi="Arial" w:cs="Arial"/>
        </w:rPr>
        <w:t> Será repassado para a OSC o percentual dos recursos captados, considerando os seguintes critérios:</w:t>
      </w:r>
    </w:p>
    <w:p w14:paraId="3FE340C9" w14:textId="77777777" w:rsidR="00137C5D" w:rsidRPr="00137C5D" w:rsidRDefault="00137C5D" w:rsidP="00137C5D">
      <w:pPr>
        <w:pStyle w:val="PargrafodaLista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t>para projetos de acolhimento</w:t>
      </w:r>
      <w:r w:rsidRPr="00137C5D">
        <w:rPr>
          <w:rFonts w:ascii="Arial" w:hAnsi="Arial" w:cs="Arial"/>
        </w:rPr>
        <w:t>, sob a forma de guarda de crianças ou adolescentes, o repasse será integral (100%), ou seja, sem retenção, em função da especificidade e complexidade do atendimento e da previsão legal de incentivo ao acolhimento;</w:t>
      </w:r>
    </w:p>
    <w:p w14:paraId="0C393916" w14:textId="77777777" w:rsidR="00137C5D" w:rsidRPr="00137C5D" w:rsidRDefault="00137C5D" w:rsidP="00137C5D">
      <w:pPr>
        <w:pStyle w:val="PargrafodaLista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t>para os projetos de atendimento direto</w:t>
      </w:r>
      <w:r w:rsidRPr="00137C5D">
        <w:rPr>
          <w:rFonts w:ascii="Arial" w:hAnsi="Arial" w:cs="Arial"/>
        </w:rPr>
        <w:t>, o repasse será de 80% (oitenta por cento), ou seja, haverá retenção de 20% (vinte por cento) junto ao CMDCA;</w:t>
      </w:r>
    </w:p>
    <w:p w14:paraId="0A4FC136" w14:textId="77777777" w:rsidR="00137C5D" w:rsidRPr="00137C5D" w:rsidRDefault="00137C5D" w:rsidP="00137C5D">
      <w:pPr>
        <w:pStyle w:val="PargrafodaLista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</w:rPr>
      </w:pPr>
      <w:r w:rsidRPr="00137C5D">
        <w:rPr>
          <w:rFonts w:ascii="Arial" w:hAnsi="Arial" w:cs="Arial"/>
          <w:u w:val="single"/>
        </w:rPr>
        <w:lastRenderedPageBreak/>
        <w:t>para projetos de atendimento indireto ou assessoramento</w:t>
      </w:r>
      <w:r w:rsidRPr="00137C5D">
        <w:rPr>
          <w:rFonts w:ascii="Arial" w:hAnsi="Arial" w:cs="Arial"/>
        </w:rPr>
        <w:t>, o repasse será de 75% (setenta e cinco por cento), ou seja, haverá retenção de 25% (vinte e cinco por cento) junto ao CMDCA.</w:t>
      </w:r>
    </w:p>
    <w:p w14:paraId="30B3DB48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Parágrafo Único.</w:t>
      </w:r>
      <w:r w:rsidRPr="00137C5D">
        <w:rPr>
          <w:rFonts w:ascii="Arial" w:hAnsi="Arial" w:cs="Arial"/>
        </w:rPr>
        <w:t xml:space="preserve"> A OSC que possui mais de um programa, sendo um deles com retenção diferenciada, deverá separá-lo, para fins de adequar-se </w:t>
      </w:r>
      <w:proofErr w:type="spellStart"/>
      <w:r w:rsidRPr="00137C5D">
        <w:rPr>
          <w:rFonts w:ascii="Arial" w:hAnsi="Arial" w:cs="Arial"/>
        </w:rPr>
        <w:t>a</w:t>
      </w:r>
      <w:proofErr w:type="spellEnd"/>
      <w:r w:rsidRPr="00137C5D">
        <w:rPr>
          <w:rFonts w:ascii="Arial" w:hAnsi="Arial" w:cs="Arial"/>
        </w:rPr>
        <w:t xml:space="preserve"> normativa acima.</w:t>
      </w:r>
    </w:p>
    <w:p w14:paraId="7EF02880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15</w:t>
      </w:r>
      <w:r w:rsidRPr="00137C5D">
        <w:rPr>
          <w:rFonts w:ascii="Arial" w:hAnsi="Arial" w:cs="Arial"/>
        </w:rPr>
        <w:t> Os recursos oriundos desta Resolução serão aplicados nos serviços, programas e projetos aprovados e deliberados pelo CMDCA.</w:t>
      </w:r>
    </w:p>
    <w:p w14:paraId="5E4EC46A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16</w:t>
      </w:r>
      <w:r w:rsidRPr="00137C5D">
        <w:rPr>
          <w:rFonts w:ascii="Arial" w:hAnsi="Arial" w:cs="Arial"/>
        </w:rPr>
        <w:t> Caso a OSC adquira equipamentos e materiais permanentes com recursos provenientes da celebração da parceria, o bem será gravado com cláusula de inalienabilidade, e ela deverá formalizar promessa de transferência da propriedade à Administração Pública, na hipótese de sua extinção.</w:t>
      </w:r>
    </w:p>
    <w:p w14:paraId="0ED1F18D" w14:textId="77777777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17</w:t>
      </w:r>
      <w:r w:rsidRPr="00137C5D">
        <w:rPr>
          <w:rFonts w:ascii="Arial" w:hAnsi="Arial" w:cs="Arial"/>
        </w:rPr>
        <w:t> A OSC poderá solicitar, antes da prestação de contas final do projeto, a transferência do saldo remanescente para um novo projeto, previamente aprovado junto ao CMDCA e observando a compatibilidade entre os objetos dos projetos.</w:t>
      </w:r>
    </w:p>
    <w:p w14:paraId="7EF3CA4E" w14:textId="6A04E98A" w:rsidR="00137C5D" w:rsidRPr="00137C5D" w:rsidRDefault="00137C5D" w:rsidP="00137C5D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Art. 18</w:t>
      </w:r>
      <w:r w:rsidRPr="00137C5D">
        <w:rPr>
          <w:rFonts w:ascii="Arial" w:hAnsi="Arial" w:cs="Arial"/>
        </w:rPr>
        <w:t xml:space="preserve"> Esta Resolução entra em vigor a partir da data de sua publicação, revogando as disposições em contrário.</w:t>
      </w:r>
    </w:p>
    <w:p w14:paraId="28CECE58" w14:textId="7E849A56" w:rsidR="006925D8" w:rsidRPr="00137C5D" w:rsidRDefault="006925D8" w:rsidP="006925D8">
      <w:pPr>
        <w:spacing w:before="240" w:after="240" w:line="360" w:lineRule="auto"/>
        <w:jc w:val="right"/>
        <w:rPr>
          <w:rFonts w:ascii="Arial" w:hAnsi="Arial" w:cs="Arial"/>
        </w:rPr>
      </w:pPr>
      <w:r w:rsidRPr="00137C5D">
        <w:rPr>
          <w:rFonts w:ascii="Arial" w:hAnsi="Arial" w:cs="Arial"/>
        </w:rPr>
        <w:t>Urupês/SP, 23 de dezembro de 2025</w:t>
      </w:r>
    </w:p>
    <w:p w14:paraId="20CED5B2" w14:textId="77777777" w:rsidR="006925D8" w:rsidRPr="00137C5D" w:rsidRDefault="006925D8" w:rsidP="006925D8">
      <w:pPr>
        <w:spacing w:before="240" w:after="240" w:line="360" w:lineRule="auto"/>
        <w:jc w:val="both"/>
        <w:rPr>
          <w:rFonts w:ascii="Arial" w:hAnsi="Arial" w:cs="Arial"/>
        </w:rPr>
      </w:pPr>
    </w:p>
    <w:p w14:paraId="39E8CB55" w14:textId="77777777" w:rsidR="006925D8" w:rsidRPr="00137C5D" w:rsidRDefault="006925D8" w:rsidP="006925D8">
      <w:pPr>
        <w:spacing w:before="240" w:after="240" w:line="360" w:lineRule="auto"/>
        <w:jc w:val="both"/>
        <w:rPr>
          <w:rFonts w:ascii="Arial" w:hAnsi="Arial" w:cs="Arial"/>
        </w:rPr>
      </w:pPr>
    </w:p>
    <w:p w14:paraId="32CD422A" w14:textId="77777777" w:rsidR="006925D8" w:rsidRPr="00137C5D" w:rsidRDefault="006925D8" w:rsidP="006925D8">
      <w:pPr>
        <w:jc w:val="center"/>
        <w:rPr>
          <w:rFonts w:ascii="Arial" w:hAnsi="Arial" w:cs="Arial"/>
          <w:b/>
          <w:bCs/>
        </w:rPr>
      </w:pPr>
      <w:proofErr w:type="spellStart"/>
      <w:r w:rsidRPr="00137C5D">
        <w:rPr>
          <w:rFonts w:ascii="Arial" w:hAnsi="Arial" w:cs="Arial"/>
          <w:b/>
          <w:bCs/>
        </w:rPr>
        <w:t>Michella</w:t>
      </w:r>
      <w:proofErr w:type="spellEnd"/>
      <w:r w:rsidRPr="00137C5D">
        <w:rPr>
          <w:rFonts w:ascii="Arial" w:hAnsi="Arial" w:cs="Arial"/>
          <w:b/>
          <w:bCs/>
        </w:rPr>
        <w:t xml:space="preserve"> </w:t>
      </w:r>
      <w:proofErr w:type="spellStart"/>
      <w:r w:rsidRPr="00137C5D">
        <w:rPr>
          <w:rFonts w:ascii="Arial" w:hAnsi="Arial" w:cs="Arial"/>
          <w:b/>
          <w:bCs/>
        </w:rPr>
        <w:t>Bossolani</w:t>
      </w:r>
      <w:proofErr w:type="spellEnd"/>
      <w:r w:rsidRPr="00137C5D">
        <w:rPr>
          <w:rFonts w:ascii="Arial" w:hAnsi="Arial" w:cs="Arial"/>
          <w:b/>
          <w:bCs/>
        </w:rPr>
        <w:t xml:space="preserve"> Buck</w:t>
      </w:r>
    </w:p>
    <w:p w14:paraId="07700746" w14:textId="77777777" w:rsidR="006925D8" w:rsidRPr="00137C5D" w:rsidRDefault="006925D8" w:rsidP="006925D8">
      <w:pPr>
        <w:jc w:val="center"/>
        <w:rPr>
          <w:rFonts w:ascii="Arial" w:hAnsi="Arial" w:cs="Arial"/>
        </w:rPr>
      </w:pPr>
      <w:r w:rsidRPr="00137C5D">
        <w:rPr>
          <w:rFonts w:ascii="Arial" w:hAnsi="Arial" w:cs="Arial"/>
          <w:b/>
          <w:bCs/>
        </w:rPr>
        <w:t>Presidente do CMDCA</w:t>
      </w:r>
    </w:p>
    <w:p w14:paraId="6FD3BCE0" w14:textId="77777777" w:rsidR="006925D8" w:rsidRPr="006925D8" w:rsidRDefault="006925D8" w:rsidP="006925D8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</w:p>
    <w:sectPr w:rsidR="006925D8" w:rsidRPr="006925D8" w:rsidSect="008125A4">
      <w:headerReference w:type="default" r:id="rId7"/>
      <w:pgSz w:w="11906" w:h="16838"/>
      <w:pgMar w:top="1417" w:right="1133" w:bottom="1276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911C" w14:textId="77777777" w:rsidR="00906377" w:rsidRDefault="00906377" w:rsidP="00B712B3">
      <w:pPr>
        <w:spacing w:after="0" w:line="240" w:lineRule="auto"/>
      </w:pPr>
      <w:r>
        <w:separator/>
      </w:r>
    </w:p>
  </w:endnote>
  <w:endnote w:type="continuationSeparator" w:id="0">
    <w:p w14:paraId="2D903F99" w14:textId="77777777" w:rsidR="00906377" w:rsidRDefault="00906377" w:rsidP="00B7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224E" w14:textId="77777777" w:rsidR="00906377" w:rsidRDefault="00906377" w:rsidP="00B712B3">
      <w:pPr>
        <w:spacing w:after="0" w:line="240" w:lineRule="auto"/>
      </w:pPr>
      <w:r>
        <w:separator/>
      </w:r>
    </w:p>
  </w:footnote>
  <w:footnote w:type="continuationSeparator" w:id="0">
    <w:p w14:paraId="4840918B" w14:textId="77777777" w:rsidR="00906377" w:rsidRDefault="00906377" w:rsidP="00B7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3817" w14:textId="77777777" w:rsidR="00B712B3" w:rsidRPr="00EF0239" w:rsidRDefault="00B712B3" w:rsidP="00B712B3">
    <w:pPr>
      <w:pStyle w:val="Cabealho"/>
      <w:tabs>
        <w:tab w:val="left" w:pos="1800"/>
        <w:tab w:val="center" w:pos="5412"/>
      </w:tabs>
      <w:ind w:firstLine="1418"/>
      <w:rPr>
        <w:rFonts w:ascii="Verdana" w:eastAsia="MS Mincho" w:hAnsi="Verdana"/>
        <w:b/>
        <w:bCs/>
        <w:smallCaps/>
        <w:sz w:val="28"/>
      </w:rPr>
    </w:pPr>
    <w:r>
      <w:rPr>
        <w:rFonts w:ascii="Verdana" w:eastAsia="MS Mincho" w:hAnsi="Verdana"/>
        <w:b/>
        <w:bCs/>
        <w:smallCaps/>
        <w:noProof/>
        <w:sz w:val="28"/>
      </w:rPr>
      <w:drawing>
        <wp:anchor distT="0" distB="0" distL="114300" distR="114300" simplePos="0" relativeHeight="251658240" behindDoc="1" locked="0" layoutInCell="1" allowOverlap="1" wp14:anchorId="6A697F52" wp14:editId="6C466D4A">
          <wp:simplePos x="0" y="0"/>
          <wp:positionH relativeFrom="column">
            <wp:posOffset>-114935</wp:posOffset>
          </wp:positionH>
          <wp:positionV relativeFrom="paragraph">
            <wp:posOffset>-49530</wp:posOffset>
          </wp:positionV>
          <wp:extent cx="857250" cy="8477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25A4">
      <w:rPr>
        <w:rFonts w:ascii="Verdana" w:eastAsia="MS Mincho" w:hAnsi="Verdana"/>
        <w:b/>
        <w:bCs/>
        <w:smallCaps/>
        <w:sz w:val="28"/>
      </w:rPr>
      <w:t xml:space="preserve">       </w:t>
    </w:r>
    <w:r w:rsidRPr="00EF0239">
      <w:rPr>
        <w:rFonts w:ascii="Verdana" w:eastAsia="MS Mincho" w:hAnsi="Verdana"/>
        <w:b/>
        <w:bCs/>
        <w:smallCaps/>
        <w:sz w:val="28"/>
      </w:rPr>
      <w:t xml:space="preserve">Conselho Municipal dos Direitos da Criança </w:t>
    </w:r>
  </w:p>
  <w:p w14:paraId="7CE09EB9" w14:textId="77777777" w:rsidR="00B712B3" w:rsidRDefault="008125A4" w:rsidP="00B712B3">
    <w:pPr>
      <w:pStyle w:val="Cabealho"/>
      <w:ind w:firstLine="1418"/>
      <w:jc w:val="center"/>
      <w:rPr>
        <w:rFonts w:ascii="Verdana" w:eastAsia="MS Mincho" w:hAnsi="Verdana"/>
        <w:b/>
        <w:bCs/>
        <w:smallCaps/>
        <w:sz w:val="28"/>
      </w:rPr>
    </w:pPr>
    <w:r>
      <w:rPr>
        <w:rFonts w:ascii="Verdana" w:eastAsia="MS Mincho" w:hAnsi="Verdana"/>
        <w:b/>
        <w:bCs/>
        <w:smallCaps/>
        <w:sz w:val="28"/>
      </w:rPr>
      <w:t xml:space="preserve">  </w:t>
    </w:r>
    <w:r w:rsidR="00B712B3" w:rsidRPr="00EF0239">
      <w:rPr>
        <w:rFonts w:ascii="Verdana" w:eastAsia="MS Mincho" w:hAnsi="Verdana"/>
        <w:b/>
        <w:bCs/>
        <w:smallCaps/>
        <w:sz w:val="28"/>
      </w:rPr>
      <w:t>e do Adolescente de Urupês</w:t>
    </w:r>
  </w:p>
  <w:p w14:paraId="50360D47" w14:textId="77777777" w:rsidR="00B712B3" w:rsidRPr="00EF0239" w:rsidRDefault="00B712B3" w:rsidP="00B712B3">
    <w:pPr>
      <w:pStyle w:val="Cabealho"/>
      <w:ind w:firstLine="1418"/>
      <w:jc w:val="center"/>
      <w:rPr>
        <w:rFonts w:ascii="Verdana" w:eastAsia="MS Mincho" w:hAnsi="Verdana"/>
        <w:b/>
        <w:bCs/>
        <w:smallCaps/>
        <w:sz w:val="8"/>
      </w:rPr>
    </w:pPr>
  </w:p>
  <w:p w14:paraId="44A83030" w14:textId="77777777" w:rsidR="00B712B3" w:rsidRPr="00EF0239" w:rsidRDefault="008125A4" w:rsidP="00B712B3">
    <w:pPr>
      <w:pStyle w:val="Cabealho"/>
      <w:ind w:left="1416"/>
      <w:rPr>
        <w:rFonts w:ascii="Bookman Old Style" w:eastAsia="MS Mincho" w:hAnsi="Bookman Old Style" w:cs="Arial"/>
        <w:i/>
        <w:spacing w:val="20"/>
        <w:sz w:val="18"/>
        <w:szCs w:val="18"/>
      </w:rPr>
    </w:pPr>
    <w:r>
      <w:rPr>
        <w:rFonts w:ascii="Bookman Old Style" w:eastAsia="MS Mincho" w:hAnsi="Bookman Old Style" w:cs="Arial"/>
        <w:i/>
        <w:spacing w:val="20"/>
        <w:sz w:val="18"/>
        <w:szCs w:val="18"/>
      </w:rPr>
      <w:t xml:space="preserve">           </w:t>
    </w:r>
    <w:r w:rsidR="00B712B3" w:rsidRPr="00EF0239">
      <w:rPr>
        <w:rFonts w:ascii="Bookman Old Style" w:eastAsia="MS Mincho" w:hAnsi="Bookman Old Style" w:cs="Arial"/>
        <w:i/>
        <w:spacing w:val="20"/>
        <w:sz w:val="18"/>
        <w:szCs w:val="18"/>
      </w:rPr>
      <w:t>__________________CNPJ 45.159.381/0001-94_______________</w:t>
    </w:r>
  </w:p>
  <w:p w14:paraId="034D81A6" w14:textId="77777777" w:rsidR="00B712B3" w:rsidRPr="00EF0239" w:rsidRDefault="008125A4" w:rsidP="00B712B3">
    <w:pPr>
      <w:pStyle w:val="Cabealho"/>
      <w:ind w:left="1416"/>
      <w:rPr>
        <w:rFonts w:ascii="Bookman Old Style" w:eastAsia="MS Mincho" w:hAnsi="Bookman Old Style" w:cs="Arial"/>
        <w:color w:val="000000"/>
        <w:spacing w:val="-6"/>
        <w:sz w:val="18"/>
        <w:szCs w:val="18"/>
      </w:rPr>
    </w:pPr>
    <w:r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            </w:t>
    </w:r>
    <w:r w:rsidR="00B712B3"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     </w:t>
    </w:r>
    <w:r w:rsidR="00B712B3" w:rsidRPr="00EF0239">
      <w:rPr>
        <w:rFonts w:ascii="Bookman Old Style" w:eastAsia="MS Mincho" w:hAnsi="Bookman Old Style" w:cs="Arial"/>
        <w:color w:val="000000"/>
        <w:spacing w:val="-6"/>
        <w:sz w:val="18"/>
        <w:szCs w:val="18"/>
      </w:rPr>
      <w:t>Rua Gustavo Martins Cerqueira, 463 – Urupês-SP – CEP</w:t>
    </w:r>
    <w:r w:rsidR="00B712B3">
      <w:rPr>
        <w:rFonts w:ascii="Bookman Old Style" w:eastAsia="MS Mincho" w:hAnsi="Bookman Old Style" w:cs="Arial"/>
        <w:color w:val="000000"/>
        <w:spacing w:val="-6"/>
        <w:sz w:val="18"/>
        <w:szCs w:val="18"/>
      </w:rPr>
      <w:t>:</w:t>
    </w:r>
    <w:r w:rsidR="00B712B3" w:rsidRPr="00EF0239"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15850-000</w:t>
    </w:r>
  </w:p>
  <w:p w14:paraId="4F737979" w14:textId="77777777" w:rsidR="00B712B3" w:rsidRDefault="00B712B3" w:rsidP="00CC0B4D">
    <w:pPr>
      <w:pStyle w:val="Cabealho"/>
      <w:pBdr>
        <w:bottom w:val="thickThinSmallGap" w:sz="24" w:space="1" w:color="auto"/>
      </w:pBdr>
    </w:pPr>
    <w:r w:rsidRPr="00EF0239">
      <w:rPr>
        <w:rFonts w:ascii="Bookman Old Style" w:eastAsia="MS Mincho" w:hAnsi="Bookman Old Style" w:cs="Arial"/>
        <w:spacing w:val="-6"/>
        <w:sz w:val="18"/>
        <w:szCs w:val="18"/>
      </w:rPr>
      <w:t xml:space="preserve">     </w:t>
    </w:r>
    <w:r w:rsidRPr="00EF0239">
      <w:rPr>
        <w:rFonts w:ascii="Bookman Old Style" w:eastAsia="MS Mincho" w:hAnsi="Bookman Old Style" w:cs="Arial"/>
        <w:spacing w:val="-6"/>
        <w:sz w:val="18"/>
        <w:szCs w:val="18"/>
      </w:rPr>
      <w:tab/>
      <w:t xml:space="preserve">            </w:t>
    </w:r>
    <w:r w:rsidR="008125A4">
      <w:rPr>
        <w:rFonts w:ascii="Bookman Old Style" w:eastAsia="MS Mincho" w:hAnsi="Bookman Old Style" w:cs="Arial"/>
        <w:spacing w:val="-6"/>
        <w:sz w:val="18"/>
        <w:szCs w:val="18"/>
      </w:rPr>
      <w:t xml:space="preserve">           </w:t>
    </w:r>
    <w:r w:rsidRPr="00EF0239">
      <w:rPr>
        <w:rFonts w:ascii="Bookman Old Style" w:eastAsia="MS Mincho" w:hAnsi="Bookman Old Style" w:cs="Arial"/>
        <w:spacing w:val="-6"/>
        <w:sz w:val="18"/>
        <w:szCs w:val="18"/>
      </w:rPr>
      <w:t xml:space="preserve">Fone/Fax: (17) 3552-1144 ou (17) 3552-3039 – E-mail: </w:t>
    </w:r>
    <w:r w:rsidR="00CC0B4D">
      <w:rPr>
        <w:rFonts w:ascii="Bookman Old Style" w:eastAsia="MS Mincho" w:hAnsi="Bookman Old Style" w:cs="Arial"/>
        <w:spacing w:val="-6"/>
        <w:sz w:val="18"/>
        <w:szCs w:val="18"/>
      </w:rPr>
      <w:t>assistenciasocial@urupes.sp.gov.br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392"/>
    <w:multiLevelType w:val="hybridMultilevel"/>
    <w:tmpl w:val="316C87B2"/>
    <w:lvl w:ilvl="0" w:tplc="27543D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9E0CEA"/>
    <w:multiLevelType w:val="hybridMultilevel"/>
    <w:tmpl w:val="383EF030"/>
    <w:lvl w:ilvl="0" w:tplc="587AB9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50CB9"/>
    <w:multiLevelType w:val="hybridMultilevel"/>
    <w:tmpl w:val="4FE2EBA6"/>
    <w:lvl w:ilvl="0" w:tplc="4FFA88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5709D7"/>
    <w:multiLevelType w:val="hybridMultilevel"/>
    <w:tmpl w:val="DDD26324"/>
    <w:lvl w:ilvl="0" w:tplc="D9985EA6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F7D11EA"/>
    <w:multiLevelType w:val="multilevel"/>
    <w:tmpl w:val="F98E42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5163F54"/>
    <w:multiLevelType w:val="hybridMultilevel"/>
    <w:tmpl w:val="22882138"/>
    <w:lvl w:ilvl="0" w:tplc="AEC2B320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79445C"/>
    <w:multiLevelType w:val="hybridMultilevel"/>
    <w:tmpl w:val="67BAC89E"/>
    <w:lvl w:ilvl="0" w:tplc="9894E94E">
      <w:start w:val="1"/>
      <w:numFmt w:val="upperRoman"/>
      <w:lvlText w:val="%1."/>
      <w:lvlJc w:val="right"/>
      <w:pPr>
        <w:ind w:left="2484" w:hanging="360"/>
      </w:pPr>
      <w:rPr>
        <w:b/>
        <w:bCs/>
      </w:rPr>
    </w:lvl>
    <w:lvl w:ilvl="1" w:tplc="F9643D04">
      <w:start w:val="1"/>
      <w:numFmt w:val="lowerLetter"/>
      <w:lvlText w:val="%2."/>
      <w:lvlJc w:val="left"/>
      <w:pPr>
        <w:ind w:left="320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4"/>
    <w:rsid w:val="0000722A"/>
    <w:rsid w:val="00024F64"/>
    <w:rsid w:val="0004430F"/>
    <w:rsid w:val="00045764"/>
    <w:rsid w:val="0009180F"/>
    <w:rsid w:val="000930D9"/>
    <w:rsid w:val="000A116F"/>
    <w:rsid w:val="000A3E26"/>
    <w:rsid w:val="000D0202"/>
    <w:rsid w:val="000E128D"/>
    <w:rsid w:val="000F0D1D"/>
    <w:rsid w:val="001019C7"/>
    <w:rsid w:val="00116E93"/>
    <w:rsid w:val="00126E54"/>
    <w:rsid w:val="00137C5D"/>
    <w:rsid w:val="00176AFE"/>
    <w:rsid w:val="001775DB"/>
    <w:rsid w:val="00182F15"/>
    <w:rsid w:val="001C0BE8"/>
    <w:rsid w:val="00201EF2"/>
    <w:rsid w:val="00214C46"/>
    <w:rsid w:val="002169D5"/>
    <w:rsid w:val="00240A70"/>
    <w:rsid w:val="002474BF"/>
    <w:rsid w:val="002849C6"/>
    <w:rsid w:val="00297A96"/>
    <w:rsid w:val="002C3142"/>
    <w:rsid w:val="002F0FDA"/>
    <w:rsid w:val="002F47EF"/>
    <w:rsid w:val="002F4860"/>
    <w:rsid w:val="00314461"/>
    <w:rsid w:val="00315691"/>
    <w:rsid w:val="003322B0"/>
    <w:rsid w:val="003342CB"/>
    <w:rsid w:val="003368A2"/>
    <w:rsid w:val="00344B7C"/>
    <w:rsid w:val="00346960"/>
    <w:rsid w:val="003571D5"/>
    <w:rsid w:val="003838FD"/>
    <w:rsid w:val="003A0708"/>
    <w:rsid w:val="003C4185"/>
    <w:rsid w:val="003C7AC4"/>
    <w:rsid w:val="003F7564"/>
    <w:rsid w:val="0041087C"/>
    <w:rsid w:val="004517F6"/>
    <w:rsid w:val="004A7873"/>
    <w:rsid w:val="004E2CAC"/>
    <w:rsid w:val="004E752B"/>
    <w:rsid w:val="004F50C4"/>
    <w:rsid w:val="004F5DFF"/>
    <w:rsid w:val="00524417"/>
    <w:rsid w:val="005574DC"/>
    <w:rsid w:val="0057594E"/>
    <w:rsid w:val="005B0099"/>
    <w:rsid w:val="005B0451"/>
    <w:rsid w:val="005B3064"/>
    <w:rsid w:val="005D3803"/>
    <w:rsid w:val="005D64E2"/>
    <w:rsid w:val="00636C38"/>
    <w:rsid w:val="006925D8"/>
    <w:rsid w:val="00693A4F"/>
    <w:rsid w:val="006D3524"/>
    <w:rsid w:val="00702C72"/>
    <w:rsid w:val="00762E3F"/>
    <w:rsid w:val="00777FA0"/>
    <w:rsid w:val="007A16A0"/>
    <w:rsid w:val="007B4FA3"/>
    <w:rsid w:val="008125A4"/>
    <w:rsid w:val="00832D4F"/>
    <w:rsid w:val="00840A23"/>
    <w:rsid w:val="0086436C"/>
    <w:rsid w:val="008700DC"/>
    <w:rsid w:val="008978C0"/>
    <w:rsid w:val="008C5E9C"/>
    <w:rsid w:val="008E79E4"/>
    <w:rsid w:val="00906377"/>
    <w:rsid w:val="009220BB"/>
    <w:rsid w:val="00927746"/>
    <w:rsid w:val="00954E6F"/>
    <w:rsid w:val="00972079"/>
    <w:rsid w:val="009B7D6E"/>
    <w:rsid w:val="009D41F6"/>
    <w:rsid w:val="009F5F76"/>
    <w:rsid w:val="00A13F15"/>
    <w:rsid w:val="00A30550"/>
    <w:rsid w:val="00A32AF5"/>
    <w:rsid w:val="00A61468"/>
    <w:rsid w:val="00A9436F"/>
    <w:rsid w:val="00AB4BB3"/>
    <w:rsid w:val="00AE50E5"/>
    <w:rsid w:val="00B1134A"/>
    <w:rsid w:val="00B35EDD"/>
    <w:rsid w:val="00B712B3"/>
    <w:rsid w:val="00B80F0D"/>
    <w:rsid w:val="00B82418"/>
    <w:rsid w:val="00BA3445"/>
    <w:rsid w:val="00C41580"/>
    <w:rsid w:val="00C63EA4"/>
    <w:rsid w:val="00CB4341"/>
    <w:rsid w:val="00CC0B4D"/>
    <w:rsid w:val="00CF22AF"/>
    <w:rsid w:val="00D231EA"/>
    <w:rsid w:val="00D3625A"/>
    <w:rsid w:val="00D7287B"/>
    <w:rsid w:val="00D82EE0"/>
    <w:rsid w:val="00DA5DB6"/>
    <w:rsid w:val="00DB2547"/>
    <w:rsid w:val="00DD36BD"/>
    <w:rsid w:val="00DF4889"/>
    <w:rsid w:val="00E64A86"/>
    <w:rsid w:val="00E71753"/>
    <w:rsid w:val="00E7525F"/>
    <w:rsid w:val="00EA2172"/>
    <w:rsid w:val="00EB19B1"/>
    <w:rsid w:val="00EC5D44"/>
    <w:rsid w:val="00EF5EB9"/>
    <w:rsid w:val="00F20CBB"/>
    <w:rsid w:val="00F31A70"/>
    <w:rsid w:val="00F453D8"/>
    <w:rsid w:val="00F51C95"/>
    <w:rsid w:val="00F56EA9"/>
    <w:rsid w:val="00F77770"/>
    <w:rsid w:val="00F9750B"/>
    <w:rsid w:val="00F9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34E04"/>
  <w15:docId w15:val="{CCDE1910-2B65-470F-A7FE-02DF3B99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1D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7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12B3"/>
  </w:style>
  <w:style w:type="paragraph" w:styleId="Rodap">
    <w:name w:val="footer"/>
    <w:basedOn w:val="Normal"/>
    <w:link w:val="RodapChar"/>
    <w:uiPriority w:val="99"/>
    <w:semiHidden/>
    <w:unhideWhenUsed/>
    <w:rsid w:val="00B7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12B3"/>
  </w:style>
  <w:style w:type="character" w:styleId="Hyperlink">
    <w:name w:val="Hyperlink"/>
    <w:basedOn w:val="Fontepargpadro"/>
    <w:rsid w:val="00B712B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SILVÂNIA</dc:creator>
  <cp:lastModifiedBy>Social Urupês</cp:lastModifiedBy>
  <cp:revision>2</cp:revision>
  <cp:lastPrinted>2025-12-23T11:52:00Z</cp:lastPrinted>
  <dcterms:created xsi:type="dcterms:W3CDTF">2025-12-23T16:28:00Z</dcterms:created>
  <dcterms:modified xsi:type="dcterms:W3CDTF">2025-12-23T16:28:00Z</dcterms:modified>
</cp:coreProperties>
</file>